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val="0"/>
        <w:spacing w:before="0" w:after="0" w:line="640" w:lineRule="exact"/>
        <w:ind w:firstLine="0" w:firstLineChars="0"/>
        <w:jc w:val="center"/>
        <w:outlineLvl w:val="0"/>
        <w:rPr>
          <w:rFonts w:ascii="方正小标宋简体" w:hAnsi="黑体" w:eastAsia="方正小标宋简体" w:cs="Times New Roman"/>
          <w:b w:val="0"/>
          <w:bCs w:val="0"/>
          <w:kern w:val="44"/>
          <w:sz w:val="44"/>
          <w:szCs w:val="44"/>
          <w:lang w:val="en-US" w:eastAsia="zh-CN" w:bidi="ar-SA"/>
        </w:rPr>
      </w:pPr>
      <w:r>
        <w:rPr>
          <w:rFonts w:hint="eastAsia" w:ascii="方正小标宋简体" w:hAnsi="黑体" w:eastAsia="方正小标宋简体" w:cs="Times New Roman"/>
          <w:b w:val="0"/>
          <w:bCs w:val="0"/>
          <w:kern w:val="44"/>
          <w:sz w:val="44"/>
          <w:szCs w:val="44"/>
          <w:lang w:val="en-US" w:eastAsia="zh-CN" w:bidi="ar-SA"/>
        </w:rPr>
        <w:t>关于开展2025</w:t>
      </w:r>
      <w:r>
        <w:rPr>
          <w:rFonts w:ascii="方正小标宋简体" w:hAnsi="黑体" w:eastAsia="方正小标宋简体" w:cs="Times New Roman"/>
          <w:b w:val="0"/>
          <w:bCs w:val="0"/>
          <w:kern w:val="44"/>
          <w:sz w:val="44"/>
          <w:szCs w:val="44"/>
          <w:lang w:val="en-US" w:eastAsia="zh-CN" w:bidi="ar-SA"/>
        </w:rPr>
        <w:t>年暑假</w:t>
      </w:r>
    </w:p>
    <w:p>
      <w:pPr>
        <w:keepNext/>
        <w:keepLines/>
        <w:widowControl w:val="0"/>
        <w:spacing w:before="0" w:after="0" w:line="640" w:lineRule="exact"/>
        <w:ind w:firstLine="0" w:firstLineChars="0"/>
        <w:jc w:val="center"/>
        <w:outlineLvl w:val="0"/>
        <w:rPr>
          <w:rFonts w:ascii="方正小标宋简体" w:hAnsi="黑体" w:eastAsia="方正小标宋简体" w:cs="Times New Roman"/>
          <w:b w:val="0"/>
          <w:bCs w:val="0"/>
          <w:kern w:val="44"/>
          <w:sz w:val="44"/>
          <w:szCs w:val="44"/>
          <w:lang w:val="en-US" w:eastAsia="zh-CN" w:bidi="ar-SA"/>
        </w:rPr>
      </w:pPr>
      <w:r>
        <w:rPr>
          <w:rFonts w:hint="eastAsia" w:ascii="方正小标宋简体" w:hAnsi="黑体" w:eastAsia="方正小标宋简体" w:cs="Times New Roman"/>
          <w:b w:val="0"/>
          <w:bCs w:val="0"/>
          <w:kern w:val="44"/>
          <w:sz w:val="36"/>
          <w:szCs w:val="36"/>
          <w:lang w:val="en-US" w:eastAsia="zh-CN" w:bidi="ar-SA"/>
        </w:rPr>
        <w:t>“长三角区域差异化模式下低空经济高质量发展研究”</w:t>
      </w:r>
      <w:r>
        <w:rPr>
          <w:rFonts w:hint="eastAsia" w:ascii="方正小标宋简体" w:hAnsi="黑体" w:eastAsia="方正小标宋简体" w:cs="Times New Roman"/>
          <w:b w:val="0"/>
          <w:bCs w:val="0"/>
          <w:kern w:val="44"/>
          <w:sz w:val="44"/>
          <w:szCs w:val="44"/>
          <w:lang w:val="en-US" w:eastAsia="zh-CN" w:bidi="ar-SA"/>
        </w:rPr>
        <w:t>主题社会实践活动的通知</w:t>
      </w: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各学院团委：</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随着党的二十届三中全会明确释放出支持低空经济发展的积极信号和科学技术的飞速发展，低空经济领域得到了前所未有的发展契机，引起了社会广泛关注。低空经济是一种新型的综合性经济形态，具有空间多维性、产业整合性、技术经济性和应用场景广泛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000000"/>
          <w:sz w:val="32"/>
          <w:szCs w:val="32"/>
          <w:lang w:val="en-US" w:eastAsia="zh-CN"/>
        </w:rPr>
        <w:t>为探索在长三角一体化越来越紧密的情况下，如何促进低空经济高质量发展，</w:t>
      </w:r>
      <w:r>
        <w:rPr>
          <w:rFonts w:hint="eastAsia" w:ascii="仿宋" w:hAnsi="仿宋" w:eastAsia="仿宋" w:cs="仿宋"/>
          <w:sz w:val="32"/>
          <w:szCs w:val="32"/>
        </w:rPr>
        <w:t>决定202</w:t>
      </w:r>
      <w:r>
        <w:rPr>
          <w:rFonts w:hint="eastAsia" w:ascii="仿宋" w:hAnsi="仿宋" w:eastAsia="仿宋" w:cs="仿宋"/>
          <w:sz w:val="32"/>
          <w:szCs w:val="32"/>
          <w:lang w:val="en-US" w:eastAsia="zh-CN"/>
        </w:rPr>
        <w:t>5</w:t>
      </w:r>
      <w:r>
        <w:rPr>
          <w:rFonts w:hint="eastAsia" w:ascii="仿宋" w:hAnsi="仿宋" w:eastAsia="仿宋" w:cs="仿宋"/>
          <w:sz w:val="32"/>
          <w:szCs w:val="32"/>
        </w:rPr>
        <w:t>年暑期组织开展“</w:t>
      </w:r>
      <w:r>
        <w:rPr>
          <w:rFonts w:hint="eastAsia" w:ascii="仿宋" w:hAnsi="仿宋" w:eastAsia="仿宋" w:cs="仿宋"/>
          <w:b w:val="0"/>
          <w:bCs w:val="0"/>
          <w:kern w:val="44"/>
          <w:sz w:val="32"/>
          <w:szCs w:val="32"/>
          <w:lang w:val="en-US" w:eastAsia="zh-CN" w:bidi="ar-SA"/>
        </w:rPr>
        <w:t>长三角区域差异化模式下低空经济高质量发展研究</w:t>
      </w:r>
      <w:r>
        <w:rPr>
          <w:rFonts w:hint="eastAsia" w:ascii="仿宋" w:hAnsi="仿宋" w:eastAsia="仿宋" w:cs="仿宋"/>
          <w:sz w:val="32"/>
          <w:szCs w:val="32"/>
        </w:rPr>
        <w:t>”主题社会实践活动，现将相关事宜通知如下：</w:t>
      </w:r>
    </w:p>
    <w:p>
      <w:pPr>
        <w:numPr>
          <w:ilvl w:val="0"/>
          <w:numId w:val="1"/>
        </w:num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活动主题</w:t>
      </w:r>
    </w:p>
    <w:p>
      <w:pPr>
        <w:numPr>
          <w:ilvl w:val="0"/>
          <w:numId w:val="0"/>
        </w:numPr>
        <w:spacing w:line="560" w:lineRule="exact"/>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r>
        <w:rPr>
          <w:rFonts w:hint="eastAsia" w:ascii="仿宋" w:hAnsi="仿宋" w:eastAsia="仿宋" w:cs="仿宋"/>
          <w:b w:val="0"/>
          <w:bCs w:val="0"/>
          <w:kern w:val="44"/>
          <w:sz w:val="32"/>
          <w:szCs w:val="32"/>
          <w:lang w:val="en-US" w:eastAsia="zh-CN" w:bidi="ar-SA"/>
        </w:rPr>
        <w:t>长三角区域差异化模式下低空经济高质量发展研究</w:t>
      </w:r>
    </w:p>
    <w:p>
      <w:pPr>
        <w:numPr>
          <w:ilvl w:val="0"/>
          <w:numId w:val="2"/>
        </w:numPr>
        <w:spacing w:line="560" w:lineRule="exact"/>
        <w:ind w:left="-2" w:leftChars="0" w:firstLine="632" w:firstLineChars="0"/>
        <w:rPr>
          <w:rFonts w:hint="eastAsia" w:ascii="黑体" w:hAnsi="黑体" w:eastAsia="黑体" w:cs="黑体"/>
          <w:sz w:val="32"/>
          <w:szCs w:val="32"/>
        </w:rPr>
      </w:pPr>
      <w:r>
        <w:rPr>
          <w:rFonts w:hint="eastAsia" w:ascii="黑体" w:hAnsi="黑体" w:eastAsia="黑体" w:cs="黑体"/>
          <w:sz w:val="32"/>
          <w:szCs w:val="32"/>
        </w:rPr>
        <w:t>活动对象</w:t>
      </w:r>
    </w:p>
    <w:p>
      <w:pPr>
        <w:numPr>
          <w:ilvl w:val="0"/>
          <w:numId w:val="0"/>
        </w:num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安徽财经大学全体学生</w:t>
      </w:r>
    </w:p>
    <w:p>
      <w:pPr>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三、活动内容</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此次社会实践旨在深入探索在“</w:t>
      </w:r>
      <w:r>
        <w:rPr>
          <w:rFonts w:hint="eastAsia" w:ascii="仿宋" w:hAnsi="仿宋" w:eastAsia="仿宋" w:cs="仿宋"/>
          <w:sz w:val="32"/>
          <w:szCs w:val="32"/>
          <w:lang w:val="en-US" w:eastAsia="zh-CN"/>
        </w:rPr>
        <w:t>长三角一体化</w:t>
      </w:r>
      <w:r>
        <w:rPr>
          <w:rFonts w:hint="eastAsia" w:ascii="仿宋" w:hAnsi="仿宋" w:eastAsia="仿宋" w:cs="仿宋"/>
          <w:sz w:val="32"/>
          <w:szCs w:val="32"/>
        </w:rPr>
        <w:t>”建设背景下，</w:t>
      </w:r>
      <w:r>
        <w:rPr>
          <w:rFonts w:hint="eastAsia" w:ascii="仿宋" w:hAnsi="仿宋" w:eastAsia="仿宋" w:cs="仿宋"/>
          <w:sz w:val="32"/>
          <w:szCs w:val="32"/>
          <w:lang w:val="en-US" w:eastAsia="zh-CN"/>
        </w:rPr>
        <w:t>如何促进低空经济高质量发展</w:t>
      </w:r>
      <w:r>
        <w:rPr>
          <w:rFonts w:hint="eastAsia" w:ascii="仿宋" w:hAnsi="仿宋" w:eastAsia="仿宋" w:cs="仿宋"/>
          <w:sz w:val="32"/>
          <w:szCs w:val="32"/>
        </w:rPr>
        <w:t>。通过系统研究，为</w:t>
      </w:r>
      <w:r>
        <w:rPr>
          <w:rFonts w:hint="eastAsia" w:ascii="仿宋" w:hAnsi="仿宋" w:eastAsia="仿宋" w:cs="仿宋"/>
          <w:sz w:val="32"/>
          <w:szCs w:val="32"/>
          <w:lang w:val="en-US" w:eastAsia="zh-CN"/>
        </w:rPr>
        <w:t>低空经济发展</w:t>
      </w:r>
      <w:r>
        <w:rPr>
          <w:rFonts w:hint="eastAsia" w:ascii="仿宋" w:hAnsi="仿宋" w:eastAsia="仿宋" w:cs="仿宋"/>
          <w:sz w:val="32"/>
          <w:szCs w:val="32"/>
        </w:rPr>
        <w:t>提供理论支撑和实践指导，助力</w:t>
      </w:r>
      <w:r>
        <w:rPr>
          <w:rFonts w:hint="eastAsia" w:ascii="仿宋" w:hAnsi="仿宋" w:eastAsia="仿宋" w:cs="仿宋"/>
          <w:sz w:val="32"/>
          <w:szCs w:val="32"/>
          <w:lang w:val="en-US" w:eastAsia="zh-CN"/>
        </w:rPr>
        <w:t>低空经济产业</w:t>
      </w:r>
      <w:r>
        <w:rPr>
          <w:rFonts w:hint="eastAsia" w:ascii="仿宋" w:hAnsi="仿宋" w:eastAsia="仿宋" w:cs="仿宋"/>
          <w:sz w:val="32"/>
          <w:szCs w:val="32"/>
        </w:rPr>
        <w:t>的持续提升，进而为</w:t>
      </w:r>
      <w:r>
        <w:rPr>
          <w:rFonts w:hint="eastAsia" w:ascii="仿宋" w:hAnsi="仿宋" w:eastAsia="仿宋" w:cs="仿宋"/>
          <w:sz w:val="32"/>
          <w:szCs w:val="32"/>
          <w:lang w:val="en-US" w:eastAsia="zh-CN"/>
        </w:rPr>
        <w:t>长三角一体化</w:t>
      </w:r>
      <w:r>
        <w:rPr>
          <w:rFonts w:hint="eastAsia" w:ascii="仿宋" w:hAnsi="仿宋" w:eastAsia="仿宋" w:cs="仿宋"/>
          <w:sz w:val="32"/>
          <w:szCs w:val="32"/>
        </w:rPr>
        <w:t>建设贡献力量。鼓励团队深入</w:t>
      </w:r>
      <w:r>
        <w:rPr>
          <w:rFonts w:hint="eastAsia" w:ascii="仿宋" w:hAnsi="仿宋" w:eastAsia="仿宋" w:cs="仿宋"/>
          <w:sz w:val="32"/>
          <w:szCs w:val="32"/>
          <w:lang w:val="en-US" w:eastAsia="zh-CN"/>
        </w:rPr>
        <w:t>长三角地区（上海市、浙江省、江苏省、安徽省）</w:t>
      </w:r>
      <w:r>
        <w:rPr>
          <w:rFonts w:hint="eastAsia" w:ascii="仿宋" w:hAnsi="仿宋" w:eastAsia="仿宋" w:cs="仿宋"/>
          <w:sz w:val="32"/>
          <w:szCs w:val="32"/>
        </w:rPr>
        <w:t>展开实地调查。</w:t>
      </w:r>
    </w:p>
    <w:p>
      <w:pPr>
        <w:numPr>
          <w:ilvl w:val="0"/>
          <w:numId w:val="0"/>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b/>
          <w:bCs/>
          <w:sz w:val="32"/>
          <w:szCs w:val="32"/>
        </w:rPr>
        <w:t>发展现状探索</w:t>
      </w:r>
      <w:r>
        <w:rPr>
          <w:rFonts w:hint="eastAsia" w:ascii="仿宋_GB2312" w:hAnsi="仿宋_GB2312" w:eastAsia="仿宋_GB2312" w:cs="仿宋_GB2312"/>
          <w:sz w:val="32"/>
          <w:szCs w:val="32"/>
        </w:rPr>
        <w:t xml:space="preserve">：通过对低空经济多维度数据的采集以及深入的实地调研，全面梳理低空经济的当前规模、业态分布和地域差异。深入分析低空经济相关企业的运营状况、技术应用水平、政策落实成效以及市场接纳程度等情况，为低空经济的高质量发展提供有力支撑。 </w:t>
      </w:r>
    </w:p>
    <w:p>
      <w:pPr>
        <w:numPr>
          <w:ilvl w:val="0"/>
          <w:numId w:val="0"/>
        </w:num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b/>
          <w:bCs/>
          <w:sz w:val="32"/>
          <w:szCs w:val="32"/>
        </w:rPr>
        <w:t>路径机理分析</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深入探究长三角区域差异化模式下的低空经济高质量发展。通过分析低空经济发展中各要素之间的协同关系，剖析政策扶持、技术创新和市场需求等关键因素之间的相互作用及其传导机制，揭示这些要素如何共同推动低空经济可持续发展的内在逻辑与传导路径。</w:t>
      </w:r>
    </w:p>
    <w:p>
      <w:pPr>
        <w:numPr>
          <w:ilvl w:val="0"/>
          <w:numId w:val="0"/>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b/>
          <w:bCs/>
          <w:sz w:val="32"/>
          <w:szCs w:val="32"/>
        </w:rPr>
        <w:t>推动热点分析：</w:t>
      </w:r>
      <w:r>
        <w:rPr>
          <w:rFonts w:hint="eastAsia" w:ascii="仿宋_GB2312" w:hAnsi="仿宋_GB2312" w:eastAsia="仿宋_GB2312" w:cs="仿宋_GB2312"/>
          <w:b w:val="0"/>
          <w:bCs w:val="0"/>
          <w:sz w:val="32"/>
          <w:szCs w:val="32"/>
        </w:rPr>
        <w:t xml:space="preserve">将研究焦点聚焦于低空经济的空间多维性、产业整合性、技术经济性和应用场景广泛性，深入了解低空经济与长三角区域差异化之间的相互作用，分析长三角区域不同政策支持、技术创新、产业集聚以及投融资活跃度上升等给低空经济带来的影响。 </w:t>
      </w:r>
      <w:r>
        <w:rPr>
          <w:rFonts w:hint="eastAsia" w:ascii="仿宋_GB2312" w:hAnsi="仿宋_GB2312" w:eastAsia="仿宋_GB2312" w:cs="仿宋_GB2312"/>
          <w:sz w:val="32"/>
          <w:szCs w:val="32"/>
        </w:rPr>
        <w:t xml:space="preserve"> </w:t>
      </w:r>
    </w:p>
    <w:p>
      <w:pPr>
        <w:numPr>
          <w:ilvl w:val="0"/>
          <w:numId w:val="0"/>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b/>
          <w:bCs/>
          <w:sz w:val="32"/>
          <w:szCs w:val="32"/>
        </w:rPr>
        <w:t>优化策略设计</w:t>
      </w:r>
      <w:r>
        <w:rPr>
          <w:rFonts w:hint="eastAsia" w:ascii="仿宋_GB2312" w:hAnsi="仿宋_GB2312" w:eastAsia="仿宋_GB2312" w:cs="仿宋_GB2312"/>
          <w:sz w:val="32"/>
          <w:szCs w:val="32"/>
        </w:rPr>
        <w:t>：全方位审视低空经济的生态系统，以创新理念为引领，完善相关制度体系，优化资源配置方式，充分激发市场主体的活力。通过多维度的协同推进，构建可持续且高效能的低空经济发展策略框架，实现产业升级与效益提升的双重目标。</w:t>
      </w:r>
    </w:p>
    <w:p>
      <w:pPr>
        <w:spacing w:line="5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四、活动流程</w:t>
      </w:r>
    </w:p>
    <w:p>
      <w:pPr>
        <w:spacing w:line="600" w:lineRule="exact"/>
        <w:ind w:firstLine="600"/>
        <w:jc w:val="left"/>
        <w:rPr>
          <w:rFonts w:hint="eastAsia" w:ascii="楷体" w:hAnsi="楷体" w:eastAsia="楷体" w:cs="楷体"/>
          <w:b/>
          <w:bCs/>
          <w:sz w:val="32"/>
          <w:szCs w:val="32"/>
        </w:rPr>
      </w:pPr>
      <w:r>
        <w:rPr>
          <w:rFonts w:hint="eastAsia" w:ascii="楷体_GB2312" w:hAnsi="楷体_GB2312" w:eastAsia="楷体_GB2312" w:cs="楷体_GB2312"/>
          <w:b w:val="0"/>
          <w:bCs w:val="0"/>
          <w:color w:val="000000"/>
          <w:sz w:val="32"/>
          <w:szCs w:val="32"/>
        </w:rPr>
        <w:t>1.项目申报阶段</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即日起，可通过“校园网-智慧校园-爱安财（新版）-寒暑假社会实践团队”登入报名。实践主题选择专项，学院选择</w:t>
      </w:r>
      <w:r>
        <w:rPr>
          <w:rFonts w:hint="eastAsia" w:ascii="仿宋" w:hAnsi="仿宋" w:eastAsia="仿宋" w:cs="仿宋"/>
          <w:sz w:val="32"/>
          <w:szCs w:val="32"/>
          <w:lang w:val="en-US" w:eastAsia="zh-CN"/>
        </w:rPr>
        <w:t>金融学院</w:t>
      </w:r>
      <w:r>
        <w:rPr>
          <w:rFonts w:hint="eastAsia" w:ascii="仿宋" w:hAnsi="仿宋" w:eastAsia="仿宋" w:cs="仿宋"/>
          <w:sz w:val="32"/>
          <w:szCs w:val="32"/>
        </w:rPr>
        <w:t>。报名后，团队负责人</w:t>
      </w:r>
      <w:r>
        <w:rPr>
          <w:rFonts w:ascii="仿宋" w:hAnsi="仿宋" w:eastAsia="仿宋" w:cs="仿宋"/>
          <w:sz w:val="32"/>
          <w:szCs w:val="32"/>
        </w:rPr>
        <w:t>请加入QQ群（</w:t>
      </w:r>
      <w:r>
        <w:rPr>
          <w:rFonts w:hint="eastAsia" w:ascii="仿宋" w:hAnsi="仿宋" w:eastAsia="仿宋" w:cs="仿宋"/>
          <w:sz w:val="32"/>
          <w:szCs w:val="32"/>
        </w:rPr>
        <w:t>657254927</w:t>
      </w:r>
      <w:r>
        <w:rPr>
          <w:rFonts w:ascii="仿宋" w:hAnsi="仿宋" w:eastAsia="仿宋" w:cs="仿宋"/>
          <w:sz w:val="32"/>
          <w:szCs w:val="32"/>
        </w:rPr>
        <w:t>）</w:t>
      </w:r>
      <w:r>
        <w:rPr>
          <w:rFonts w:hint="eastAsia" w:ascii="仿宋" w:hAnsi="仿宋" w:eastAsia="仿宋" w:cs="仿宋"/>
          <w:sz w:val="32"/>
          <w:szCs w:val="32"/>
        </w:rPr>
        <w:t>。</w:t>
      </w:r>
    </w:p>
    <w:p>
      <w:pPr>
        <w:spacing w:line="600" w:lineRule="exact"/>
        <w:ind w:firstLine="60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2.项目审批阶段</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完成项目审批并遴选确立重点示范团队并在网站发布。以学生自愿申报，</w:t>
      </w:r>
      <w:r>
        <w:rPr>
          <w:rFonts w:hint="eastAsia" w:ascii="仿宋" w:hAnsi="仿宋" w:eastAsia="仿宋" w:cs="仿宋"/>
          <w:sz w:val="32"/>
          <w:szCs w:val="32"/>
          <w:lang w:val="en-US" w:eastAsia="zh-CN"/>
        </w:rPr>
        <w:t>金融</w:t>
      </w:r>
      <w:r>
        <w:rPr>
          <w:rFonts w:hint="eastAsia" w:ascii="仿宋" w:hAnsi="仿宋" w:eastAsia="仿宋" w:cs="仿宋"/>
          <w:sz w:val="32"/>
          <w:szCs w:val="32"/>
        </w:rPr>
        <w:t>学院具体指导，校团委统筹协调的方法开展工作。</w:t>
      </w:r>
    </w:p>
    <w:p>
      <w:pPr>
        <w:spacing w:line="600" w:lineRule="exact"/>
        <w:ind w:firstLine="60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3.培训及项目前期准备阶段</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组织专家对参加实践活动的学生进行培训，内容主要涉及活动的策划准备、组织实施、安全保障、问卷调查、报告撰写等。</w:t>
      </w:r>
    </w:p>
    <w:p>
      <w:pPr>
        <w:spacing w:line="600" w:lineRule="exact"/>
        <w:ind w:firstLine="60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4.活动开展阶段</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团队赴调研地开展社会实践活动，按要求完成问卷调查，因地制宜开展参观考察、访谈调查、实操体验等社会实践，并结合实践撰写调研报告、新闻材料等。</w:t>
      </w:r>
    </w:p>
    <w:p>
      <w:pPr>
        <w:spacing w:line="600" w:lineRule="exact"/>
        <w:ind w:firstLine="60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5.成果提交阶段</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以团队为单位将调查问卷的纸质版提交至</w:t>
      </w:r>
      <w:r>
        <w:rPr>
          <w:rFonts w:hint="eastAsia" w:ascii="仿宋_GB2312" w:hAnsi="仿宋_GB2312" w:eastAsia="仿宋_GB2312" w:cs="仿宋_GB2312"/>
          <w:sz w:val="32"/>
          <w:szCs w:val="32"/>
        </w:rPr>
        <w:t>龙湖东校区</w:t>
      </w:r>
      <w:r>
        <w:rPr>
          <w:rFonts w:hint="eastAsia" w:ascii="仿宋" w:hAnsi="仿宋" w:eastAsia="仿宋" w:cs="仿宋"/>
          <w:sz w:val="32"/>
          <w:szCs w:val="32"/>
          <w:lang w:val="en-US" w:eastAsia="zh-CN"/>
        </w:rPr>
        <w:t>博文楼</w:t>
      </w:r>
      <w:r>
        <w:rPr>
          <w:rFonts w:hint="eastAsia" w:ascii="仿宋" w:hAnsi="仿宋" w:eastAsia="仿宋" w:cs="仿宋"/>
          <w:sz w:val="32"/>
          <w:szCs w:val="32"/>
          <w:highlight w:val="none"/>
          <w:lang w:val="en-US" w:eastAsia="zh-CN"/>
        </w:rPr>
        <w:t>504团委办公室</w:t>
      </w:r>
      <w:r>
        <w:rPr>
          <w:rFonts w:hint="eastAsia" w:ascii="仿宋" w:hAnsi="仿宋" w:eastAsia="仿宋" w:cs="仿宋"/>
          <w:sz w:val="32"/>
          <w:szCs w:val="32"/>
        </w:rPr>
        <w:t>。实践调研报告及其他材料以“压缩包”形式发送至邮箱</w:t>
      </w:r>
      <w:r>
        <w:rPr>
          <w:rFonts w:hint="eastAsia" w:ascii="仿宋" w:hAnsi="仿宋" w:eastAsia="仿宋" w:cs="仿宋"/>
          <w:sz w:val="32"/>
          <w:szCs w:val="32"/>
          <w:lang w:eastAsia="zh-CN"/>
        </w:rPr>
        <w:t>：</w:t>
      </w:r>
      <w:r>
        <w:rPr>
          <w:rFonts w:hint="eastAsia" w:ascii="仿宋_GB2312" w:hAnsi="仿宋_GB2312" w:cs="仿宋_GB2312"/>
          <w:sz w:val="32"/>
          <w:szCs w:val="32"/>
          <w:highlight w:val="none"/>
          <w:lang w:val="en-US" w:eastAsia="zh-CN"/>
        </w:rPr>
        <w:t>acjrxytw2021@163.com</w:t>
      </w:r>
      <w:r>
        <w:rPr>
          <w:rFonts w:hint="eastAsia" w:ascii="仿宋" w:hAnsi="仿宋" w:eastAsia="仿宋" w:cs="仿宋"/>
          <w:sz w:val="32"/>
          <w:szCs w:val="32"/>
        </w:rPr>
        <w:t>。附件名称和邮件主题以“</w:t>
      </w:r>
      <w:r>
        <w:rPr>
          <w:rFonts w:hint="eastAsia" w:ascii="仿宋" w:hAnsi="仿宋" w:eastAsia="仿宋" w:cs="仿宋"/>
          <w:b w:val="0"/>
          <w:bCs w:val="0"/>
          <w:kern w:val="44"/>
          <w:sz w:val="32"/>
          <w:szCs w:val="32"/>
          <w:lang w:val="en-US" w:eastAsia="zh-CN" w:bidi="ar-SA"/>
        </w:rPr>
        <w:t>长三角区域差异化模式下低空经济高质量发展研究</w:t>
      </w:r>
      <w:r>
        <w:rPr>
          <w:rFonts w:hint="eastAsia" w:ascii="仿宋" w:hAnsi="仿宋" w:eastAsia="仿宋" w:cs="仿宋"/>
          <w:sz w:val="32"/>
          <w:szCs w:val="32"/>
        </w:rPr>
        <w:t>+成果形式+负责人姓名+手机号”方式命名。</w:t>
      </w:r>
    </w:p>
    <w:p>
      <w:pPr>
        <w:spacing w:line="600" w:lineRule="exact"/>
        <w:ind w:firstLine="60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6.评优阶段</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校团委将对实践过程中表现突出的先进个人、团队，以及优秀调研报告进行评比。所有完成社会实践要求的本科生可按相关规定获得社会实践学分。</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、调查事项</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 w:hAnsi="仿宋" w:eastAsia="仿宋" w:cs="仿宋"/>
          <w:color w:val="000000"/>
          <w:position w:val="0"/>
          <w:sz w:val="32"/>
          <w:szCs w:val="32"/>
          <w:lang w:eastAsia="zh"/>
        </w:rPr>
      </w:pPr>
      <w:r>
        <w:rPr>
          <w:rFonts w:hint="eastAsia" w:ascii="仿宋_GB2312" w:hAnsi="仿宋_GB2312" w:eastAsia="仿宋_GB2312" w:cs="仿宋_GB2312"/>
          <w:color w:val="000000"/>
          <w:position w:val="0"/>
          <w:sz w:val="32"/>
          <w:szCs w:val="32"/>
          <w:lang w:eastAsia="zh"/>
        </w:rPr>
        <w:t>1.</w:t>
      </w:r>
      <w:r>
        <w:rPr>
          <w:rFonts w:hint="eastAsia" w:ascii="仿宋" w:hAnsi="仿宋" w:eastAsia="仿宋" w:cs="仿宋"/>
          <w:color w:val="000000"/>
          <w:position w:val="0"/>
          <w:sz w:val="32"/>
          <w:szCs w:val="32"/>
          <w:lang w:eastAsia="zh"/>
        </w:rPr>
        <w:t>调研对象：规定实践地点的当地政府、</w:t>
      </w:r>
      <w:r>
        <w:rPr>
          <w:rFonts w:hint="eastAsia" w:ascii="仿宋" w:hAnsi="仿宋" w:eastAsia="仿宋" w:cs="仿宋"/>
          <w:color w:val="000000"/>
          <w:position w:val="0"/>
          <w:sz w:val="32"/>
          <w:szCs w:val="32"/>
          <w:lang w:val="en-US" w:eastAsia="zh-CN"/>
        </w:rPr>
        <w:t>当地低空经济产业主体，如：民用有人驾驶和无人驾驶航空器、无人机、电动垂直起降飞行器制造供应商，应用低空航空设备的企业和个体等</w:t>
      </w:r>
      <w:r>
        <w:rPr>
          <w:rFonts w:hint="eastAsia" w:ascii="仿宋" w:hAnsi="仿宋" w:eastAsia="仿宋" w:cs="仿宋"/>
          <w:color w:val="000000"/>
          <w:position w:val="0"/>
          <w:sz w:val="32"/>
          <w:szCs w:val="32"/>
          <w:lang w:eastAsia="zh"/>
        </w:rPr>
        <w:t>。</w:t>
      </w:r>
    </w:p>
    <w:p>
      <w:pPr>
        <w:spacing w:line="500" w:lineRule="exact"/>
        <w:ind w:firstLine="640" w:firstLineChars="200"/>
        <w:rPr>
          <w:rFonts w:hint="eastAsia" w:ascii="仿宋" w:hAnsi="仿宋" w:eastAsia="仿宋" w:cs="仿宋"/>
          <w:sz w:val="32"/>
          <w:szCs w:val="32"/>
        </w:rPr>
      </w:pPr>
      <w:r>
        <w:rPr>
          <w:rFonts w:hint="eastAsia" w:ascii="仿宋_GB2312" w:hAnsi="仿宋_GB2312" w:eastAsia="仿宋_GB2312" w:cs="仿宋_GB2312"/>
          <w:color w:val="000000"/>
          <w:position w:val="0"/>
          <w:sz w:val="32"/>
          <w:szCs w:val="32"/>
          <w:lang w:eastAsia="zh"/>
        </w:rPr>
        <w:t>2.问卷要求：</w:t>
      </w:r>
      <w:r>
        <w:rPr>
          <w:rFonts w:hint="eastAsia" w:ascii="仿宋" w:hAnsi="仿宋" w:eastAsia="仿宋" w:cs="仿宋"/>
          <w:sz w:val="32"/>
          <w:szCs w:val="32"/>
        </w:rPr>
        <w:t>每个实践小组须完成规定数量的有效问卷调查。</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 w:hAnsi="仿宋" w:eastAsia="仿宋" w:cs="仿宋"/>
          <w:color w:val="000000"/>
          <w:position w:val="0"/>
          <w:sz w:val="32"/>
          <w:szCs w:val="32"/>
          <w:lang w:eastAsia="zh-CN"/>
        </w:rPr>
      </w:pPr>
      <w:r>
        <w:rPr>
          <w:rFonts w:hint="eastAsia" w:ascii="仿宋_GB2312" w:hAnsi="仿宋_GB2312" w:eastAsia="仿宋_GB2312" w:cs="仿宋_GB2312"/>
          <w:color w:val="000000"/>
          <w:position w:val="0"/>
          <w:sz w:val="32"/>
          <w:szCs w:val="32"/>
          <w:lang w:eastAsia="zh"/>
        </w:rPr>
        <w:t>3</w:t>
      </w:r>
      <w:r>
        <w:rPr>
          <w:rFonts w:hint="eastAsia" w:ascii="仿宋" w:hAnsi="仿宋" w:eastAsia="仿宋" w:cs="仿宋"/>
          <w:color w:val="000000"/>
          <w:position w:val="0"/>
          <w:sz w:val="32"/>
          <w:szCs w:val="32"/>
          <w:lang w:eastAsia="zh"/>
        </w:rPr>
        <w:t>.照片要求：要求提交含有所调查对象的现场照片至少</w:t>
      </w:r>
      <w:r>
        <w:rPr>
          <w:rFonts w:hint="eastAsia" w:ascii="仿宋" w:hAnsi="仿宋" w:eastAsia="仿宋" w:cs="仿宋"/>
          <w:color w:val="000000"/>
          <w:position w:val="0"/>
          <w:sz w:val="32"/>
          <w:szCs w:val="32"/>
          <w:lang w:val="en-US" w:eastAsia="zh-CN"/>
        </w:rPr>
        <w:t>三</w:t>
      </w:r>
      <w:r>
        <w:rPr>
          <w:rFonts w:hint="eastAsia" w:ascii="仿宋" w:hAnsi="仿宋" w:eastAsia="仿宋" w:cs="仿宋"/>
          <w:color w:val="000000"/>
          <w:position w:val="0"/>
          <w:sz w:val="32"/>
          <w:szCs w:val="32"/>
          <w:lang w:eastAsia="zh"/>
        </w:rPr>
        <w:t>张</w:t>
      </w:r>
      <w:r>
        <w:rPr>
          <w:rFonts w:hint="eastAsia" w:ascii="仿宋" w:hAnsi="仿宋" w:eastAsia="仿宋" w:cs="仿宋"/>
          <w:color w:val="000000"/>
          <w:positio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 w:hAnsi="仿宋" w:eastAsia="仿宋" w:cs="仿宋"/>
          <w:color w:val="000000"/>
          <w:position w:val="0"/>
          <w:sz w:val="32"/>
          <w:szCs w:val="32"/>
          <w:lang w:eastAsia="zh"/>
        </w:rPr>
      </w:pPr>
      <w:r>
        <w:rPr>
          <w:rFonts w:hint="eastAsia" w:ascii="仿宋" w:hAnsi="仿宋" w:eastAsia="仿宋" w:cs="仿宋"/>
          <w:color w:val="000000"/>
          <w:position w:val="0"/>
          <w:sz w:val="32"/>
          <w:szCs w:val="32"/>
          <w:lang w:eastAsia="zh"/>
        </w:rPr>
        <w:t>4.调查实施：实践团队依据所提供的问卷自行开展调查活动。团队负责人应有较强的责任心，较好的领导能力和团队协调能力，鼓励以生源地相对集中的形式组建团队，并于</w:t>
      </w:r>
      <w:r>
        <w:rPr>
          <w:rFonts w:hint="eastAsia" w:ascii="仿宋" w:hAnsi="仿宋" w:eastAsia="仿宋" w:cs="仿宋"/>
          <w:color w:val="000000"/>
          <w:position w:val="0"/>
          <w:sz w:val="32"/>
          <w:szCs w:val="32"/>
          <w:lang w:val="en-US" w:eastAsia="zh-CN"/>
        </w:rPr>
        <w:t>假期期间选择本次实践活动的规定地点（长三角地区）</w:t>
      </w:r>
      <w:r>
        <w:rPr>
          <w:rFonts w:hint="eastAsia" w:ascii="仿宋" w:hAnsi="仿宋" w:eastAsia="仿宋" w:cs="仿宋"/>
          <w:color w:val="000000"/>
          <w:position w:val="0"/>
          <w:sz w:val="32"/>
          <w:szCs w:val="32"/>
          <w:lang w:eastAsia="zh"/>
        </w:rPr>
        <w:t>进行实地调查，日程须安排紧凑，团队成员须分工明确、结构科学、规模适中，人数控制在4-8人。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 w:hAnsi="仿宋" w:eastAsia="仿宋" w:cs="仿宋"/>
          <w:color w:val="000000"/>
          <w:position w:val="0"/>
          <w:sz w:val="32"/>
          <w:szCs w:val="32"/>
          <w:lang w:eastAsia="zh"/>
        </w:rPr>
      </w:pPr>
      <w:r>
        <w:rPr>
          <w:rFonts w:hint="eastAsia" w:ascii="仿宋_GB2312" w:hAnsi="仿宋_GB2312" w:eastAsia="仿宋_GB2312" w:cs="仿宋_GB2312"/>
          <w:color w:val="000000"/>
          <w:position w:val="0"/>
          <w:sz w:val="32"/>
          <w:szCs w:val="32"/>
          <w:lang w:eastAsia="zh"/>
        </w:rPr>
        <w:t>5.</w:t>
      </w:r>
      <w:r>
        <w:rPr>
          <w:rFonts w:hint="eastAsia" w:ascii="仿宋" w:hAnsi="仿宋" w:eastAsia="仿宋" w:cs="仿宋"/>
          <w:color w:val="000000"/>
          <w:position w:val="0"/>
          <w:sz w:val="32"/>
          <w:szCs w:val="32"/>
          <w:lang w:eastAsia="zh"/>
        </w:rPr>
        <w:t>调查成果：第一，基本要求。实践团队须按</w:t>
      </w:r>
      <w:r>
        <w:rPr>
          <w:rFonts w:hint="eastAsia" w:ascii="仿宋" w:hAnsi="仿宋" w:eastAsia="仿宋" w:cs="仿宋"/>
          <w:position w:val="0"/>
          <w:sz w:val="32"/>
          <w:szCs w:val="32"/>
          <w:lang w:val="en-US" w:eastAsia="zh-CN"/>
        </w:rPr>
        <w:t>调研事项中的问卷</w:t>
      </w:r>
      <w:r>
        <w:rPr>
          <w:rFonts w:hint="eastAsia" w:ascii="仿宋" w:hAnsi="仿宋" w:eastAsia="仿宋" w:cs="仿宋"/>
          <w:position w:val="0"/>
          <w:sz w:val="32"/>
          <w:szCs w:val="32"/>
        </w:rPr>
        <w:t>要求完</w:t>
      </w:r>
      <w:r>
        <w:rPr>
          <w:rFonts w:hint="eastAsia" w:ascii="仿宋" w:hAnsi="仿宋" w:eastAsia="仿宋" w:cs="仿宋"/>
          <w:color w:val="000000"/>
          <w:position w:val="0"/>
          <w:sz w:val="32"/>
          <w:szCs w:val="32"/>
          <w:lang w:eastAsia="zh"/>
        </w:rPr>
        <w:t>成问卷调查，并依据调查情况撰写不低于5000字的调研报告调研，报告严禁抄袭，查重比例须在20%以内，报告题目自拟。报告内容是对实践活动的详细表述，主要应包括实践背景、实践形式、实践过程、实践效果等，要求数据详实、图文并茂。第二，团队各成员需撰写不少于</w:t>
      </w:r>
      <w:r>
        <w:rPr>
          <w:rFonts w:hint="eastAsia" w:ascii="仿宋" w:hAnsi="仿宋" w:eastAsia="仿宋" w:cs="仿宋"/>
          <w:color w:val="000000"/>
          <w:position w:val="0"/>
          <w:sz w:val="32"/>
          <w:szCs w:val="32"/>
          <w:lang w:val="en-US" w:eastAsia="zh-CN"/>
        </w:rPr>
        <w:t>1</w:t>
      </w:r>
      <w:r>
        <w:rPr>
          <w:rFonts w:hint="eastAsia" w:ascii="仿宋" w:hAnsi="仿宋" w:eastAsia="仿宋" w:cs="仿宋"/>
          <w:color w:val="000000"/>
          <w:position w:val="0"/>
          <w:sz w:val="32"/>
          <w:szCs w:val="32"/>
          <w:lang w:eastAsia="zh"/>
        </w:rPr>
        <w:t>000字的实践心得体会。第三，择优条件。团队可以选择性地提交反映报告内容的微视频。在调研报告撰写质量相同情况下，微视频作为评奖的一个加分项目。</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_GB2312" w:hAnsi="仿宋_GB2312" w:eastAsia="仿宋_GB2312" w:cs="仿宋_GB2312"/>
          <w:color w:val="000000"/>
          <w:position w:val="0"/>
          <w:sz w:val="32"/>
          <w:szCs w:val="32"/>
          <w:lang w:eastAsia="zh"/>
        </w:rPr>
      </w:pPr>
      <w:r>
        <w:rPr>
          <w:rFonts w:hint="eastAsia" w:ascii="仿宋_GB2312" w:hAnsi="仿宋_GB2312" w:eastAsia="仿宋_GB2312" w:cs="仿宋_GB2312"/>
          <w:color w:val="000000"/>
          <w:position w:val="0"/>
          <w:sz w:val="32"/>
          <w:szCs w:val="32"/>
          <w:lang w:eastAsia="zh"/>
        </w:rPr>
        <w:t>调研报告格式说明:报告标题用宋体四号字，加粗;团队名称、队员姓名、联系人电话用宋体小四;正文内容用宋体五号字，正文行间距用固定值22磅;引用文献用脚注，宋体小五。</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_GB2312" w:hAnsi="仿宋_GB2312" w:eastAsia="仿宋_GB2312" w:cs="仿宋_GB2312"/>
          <w:position w:val="0"/>
          <w:sz w:val="32"/>
          <w:szCs w:val="32"/>
        </w:rPr>
      </w:pPr>
      <w:r>
        <w:rPr>
          <w:rFonts w:hint="eastAsia" w:ascii="仿宋_GB2312" w:hAnsi="仿宋_GB2312" w:eastAsia="仿宋_GB2312" w:cs="仿宋_GB2312"/>
          <w:color w:val="000000"/>
          <w:position w:val="0"/>
          <w:sz w:val="32"/>
          <w:szCs w:val="32"/>
          <w:lang w:eastAsia="zh"/>
        </w:rPr>
        <w:t>微视频制作说明:视频作品须有队员镜头，时长为5-10分钟。</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ascii="仿宋_GB2312" w:hAnsi="仿宋_GB2312" w:eastAsia="仿宋_GB2312" w:cs="仿宋_GB2312"/>
          <w:sz w:val="32"/>
          <w:szCs w:val="32"/>
        </w:rPr>
        <w:t>.调查交流。团队报名后请加入QQ群（</w:t>
      </w:r>
      <w:r>
        <w:rPr>
          <w:rFonts w:hint="eastAsia" w:ascii="仿宋" w:hAnsi="仿宋" w:eastAsia="仿宋" w:cs="仿宋"/>
          <w:sz w:val="32"/>
          <w:szCs w:val="32"/>
        </w:rPr>
        <w:t>657254927</w:t>
      </w:r>
      <w:r>
        <w:rPr>
          <w:rFonts w:ascii="仿宋_GB2312" w:hAnsi="仿宋_GB2312" w:eastAsia="仿宋_GB2312" w:cs="仿宋_GB2312"/>
          <w:sz w:val="32"/>
          <w:szCs w:val="32"/>
        </w:rPr>
        <w:t>），调查问卷电子版</w:t>
      </w:r>
      <w:r>
        <w:rPr>
          <w:rFonts w:hint="eastAsia" w:ascii="仿宋_GB2312" w:hAnsi="仿宋_GB2312" w:eastAsia="仿宋_GB2312" w:cs="仿宋_GB2312"/>
          <w:sz w:val="32"/>
          <w:szCs w:val="32"/>
        </w:rPr>
        <w:t>及相关说明</w:t>
      </w:r>
      <w:r>
        <w:rPr>
          <w:rFonts w:ascii="仿宋_GB2312" w:hAnsi="仿宋_GB2312" w:eastAsia="仿宋_GB2312" w:cs="仿宋_GB2312"/>
          <w:sz w:val="32"/>
          <w:szCs w:val="32"/>
        </w:rPr>
        <w:t>将在群中发放，如对调查事项有任何疑问可以在群中交流。</w:t>
      </w:r>
    </w:p>
    <w:p>
      <w:pPr>
        <w:spacing w:line="560" w:lineRule="exact"/>
        <w:ind w:firstLine="640" w:firstLineChars="200"/>
        <w:rPr>
          <w:rFonts w:hint="eastAsia" w:ascii="仿宋" w:hAnsi="仿宋" w:eastAsia="仿宋" w:cs="仿宋"/>
          <w:b/>
          <w:bCs/>
          <w:color w:val="FF0000"/>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、其他事项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1.注意事项。社会实践过程中须严格遵守学校相关实践规定以及各地区有关规定，高度注意实践活动中的人身财产安全，确保没有安全隐患。</w:t>
      </w:r>
    </w:p>
    <w:p>
      <w:pPr>
        <w:spacing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rPr>
        <w:t>2.成果利用。</w:t>
      </w:r>
      <w:r>
        <w:rPr>
          <w:rFonts w:hint="eastAsia" w:ascii="仿宋_GB2312" w:hAnsi="仿宋_GB2312" w:eastAsia="仿宋_GB2312" w:cs="仿宋_GB2312"/>
          <w:b w:val="0"/>
          <w:bCs w:val="0"/>
          <w:color w:val="auto"/>
          <w:sz w:val="32"/>
          <w:szCs w:val="32"/>
        </w:rPr>
        <w:t>建议在导师指导下，将本次调研成果同申请“大学生创新创业训练”项目以及参加“互联网+”和“挑战杯”大赛相结合。</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3.结果公布。评比结果将通过安徽财经大学</w:t>
      </w:r>
      <w:r>
        <w:rPr>
          <w:rFonts w:hint="eastAsia" w:ascii="仿宋_GB2312" w:hAnsi="仿宋_GB2312" w:cs="仿宋_GB2312"/>
          <w:sz w:val="32"/>
          <w:szCs w:val="32"/>
          <w:lang w:val="en-US" w:eastAsia="zh-CN"/>
        </w:rPr>
        <w:t>金融</w:t>
      </w:r>
      <w:r>
        <w:rPr>
          <w:rFonts w:hint="eastAsia" w:ascii="仿宋_GB2312" w:hAnsi="仿宋_GB2312" w:eastAsia="仿宋_GB2312" w:cs="仿宋_GB2312"/>
          <w:sz w:val="32"/>
          <w:szCs w:val="32"/>
        </w:rPr>
        <w:t>学院官网公布。</w:t>
      </w: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调研活动联系人：</w:t>
      </w:r>
      <w:r>
        <w:rPr>
          <w:rFonts w:hint="eastAsia" w:ascii="仿宋_GB2312" w:hAnsi="仿宋_GB2312" w:cs="仿宋_GB2312"/>
          <w:sz w:val="32"/>
          <w:szCs w:val="32"/>
          <w:lang w:val="en-US" w:eastAsia="zh-CN"/>
        </w:rPr>
        <w:t>谢涛</w:t>
      </w:r>
      <w:r>
        <w:rPr>
          <w:rFonts w:hint="eastAsia" w:ascii="仿宋_GB2312" w:hAnsi="仿宋_GB2312" w:eastAsia="仿宋_GB2312" w:cs="仿宋_GB2312"/>
          <w:sz w:val="32"/>
          <w:szCs w:val="32"/>
        </w:rPr>
        <w:t>老师、</w:t>
      </w:r>
      <w:r>
        <w:rPr>
          <w:rFonts w:hint="eastAsia" w:ascii="仿宋_GB2312" w:hAnsi="仿宋_GB2312" w:cs="仿宋_GB2312"/>
          <w:sz w:val="32"/>
          <w:szCs w:val="32"/>
          <w:lang w:val="en-US" w:eastAsia="zh-CN"/>
        </w:rPr>
        <w:t>张博</w:t>
      </w:r>
      <w:r>
        <w:rPr>
          <w:rFonts w:hint="eastAsia" w:ascii="仿宋_GB2312" w:hAnsi="仿宋_GB2312" w:eastAsia="仿宋_GB2312" w:cs="仿宋_GB2312"/>
          <w:sz w:val="32"/>
          <w:szCs w:val="32"/>
        </w:rPr>
        <w:t>老师</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联系电话：18855221195、13956341189</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附件1：202</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暑假</w:t>
      </w:r>
      <w:r>
        <w:rPr>
          <w:rFonts w:hint="eastAsia" w:ascii="仿宋_GB2312" w:hAnsi="仿宋_GB2312" w:eastAsia="仿宋_GB2312" w:cs="仿宋_GB2312"/>
          <w:sz w:val="32"/>
          <w:szCs w:val="32"/>
        </w:rPr>
        <w:t>团队</w:t>
      </w:r>
      <w:r>
        <w:rPr>
          <w:rFonts w:hint="eastAsia" w:ascii="仿宋_GB2312" w:hAnsi="仿宋_GB2312" w:cs="仿宋_GB2312"/>
          <w:sz w:val="32"/>
          <w:szCs w:val="32"/>
          <w:lang w:eastAsia="zh-CN"/>
        </w:rPr>
        <w:t>“</w:t>
      </w:r>
      <w:r>
        <w:rPr>
          <w:rFonts w:hint="eastAsia" w:ascii="仿宋" w:hAnsi="仿宋" w:eastAsia="仿宋" w:cs="仿宋"/>
          <w:b w:val="0"/>
          <w:bCs w:val="0"/>
          <w:kern w:val="44"/>
          <w:sz w:val="32"/>
          <w:szCs w:val="32"/>
          <w:lang w:val="en-US" w:eastAsia="zh-CN" w:bidi="ar-SA"/>
        </w:rPr>
        <w:t>长三角区域差异化模式下低空经济高质量发展研究</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报名汇总表</w:t>
      </w:r>
    </w:p>
    <w:p>
      <w:pPr>
        <w:spacing w:line="560" w:lineRule="exact"/>
        <w:rPr>
          <w:rFonts w:hint="eastAsia" w:ascii="仿宋_GB2312" w:hAnsi="仿宋_GB2312" w:eastAsia="仿宋_GB2312" w:cs="仿宋_GB2312"/>
          <w:sz w:val="32"/>
          <w:szCs w:val="32"/>
        </w:rPr>
      </w:pPr>
    </w:p>
    <w:p>
      <w:pPr>
        <w:wordWrap/>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共青团安徽财经大学委员会  </w:t>
      </w:r>
    </w:p>
    <w:p>
      <w:pPr>
        <w:spacing w:line="560" w:lineRule="exact"/>
        <w:jc w:val="right"/>
        <w:rPr>
          <w:rFonts w:ascii="仿宋_GB2312" w:hAnsi="仿宋_GB2312" w:eastAsia="仿宋_GB2312" w:cs="仿宋_GB2312"/>
          <w:sz w:val="32"/>
          <w:szCs w:val="32"/>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安徽财经大学</w:t>
      </w:r>
      <w:r>
        <w:rPr>
          <w:rFonts w:hint="eastAsia" w:ascii="仿宋_GB2312" w:hAnsi="仿宋_GB2312" w:cs="仿宋_GB2312"/>
          <w:sz w:val="32"/>
          <w:szCs w:val="32"/>
          <w:lang w:val="en-US" w:eastAsia="zh-CN"/>
        </w:rPr>
        <w:t>金融</w:t>
      </w:r>
      <w:r>
        <w:rPr>
          <w:rFonts w:hint="eastAsia" w:ascii="仿宋_GB2312" w:hAnsi="仿宋_GB2312" w:eastAsia="仿宋_GB2312" w:cs="仿宋_GB2312"/>
          <w:sz w:val="32"/>
          <w:szCs w:val="32"/>
        </w:rPr>
        <w:t>学院</w:t>
      </w:r>
    </w:p>
    <w:p>
      <w:pPr>
        <w:spacing w:line="500" w:lineRule="exact"/>
        <w:ind w:firstLine="640" w:firstLineChars="200"/>
        <w:jc w:val="right"/>
        <w:rPr>
          <w:rFonts w:hint="eastAsia" w:ascii="仿宋" w:hAnsi="仿宋" w:eastAsia="仿宋" w:cs="仿宋"/>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cs="仿宋_GB2312"/>
          <w:sz w:val="32"/>
          <w:szCs w:val="32"/>
          <w:lang w:val="en-US" w:eastAsia="zh-CN"/>
        </w:rPr>
        <w:t>4</w:t>
      </w:r>
      <w:bookmarkStart w:id="0" w:name="_GoBack"/>
      <w:bookmarkEnd w:id="0"/>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p>
    <w:p>
      <w:pPr>
        <w:spacing w:line="500" w:lineRule="exact"/>
        <w:ind w:firstLine="640" w:firstLineChars="200"/>
        <w:rPr>
          <w:rFonts w:hint="eastAsia" w:ascii="仿宋" w:hAnsi="仿宋" w:eastAsia="仿宋" w:cs="仿宋"/>
          <w:sz w:val="32"/>
          <w:szCs w:val="32"/>
        </w:rPr>
        <w:sectPr>
          <w:pgSz w:w="11906" w:h="16838"/>
          <w:pgMar w:top="1440" w:right="1800" w:bottom="1440" w:left="1800" w:header="851" w:footer="992" w:gutter="0"/>
          <w:cols w:space="425" w:num="1"/>
          <w:docGrid w:type="lines" w:linePitch="312" w:charSpace="0"/>
        </w:sectPr>
      </w:pPr>
    </w:p>
    <w:tbl>
      <w:tblPr>
        <w:tblStyle w:val="2"/>
        <w:tblW w:w="14022" w:type="dxa"/>
        <w:tblInd w:w="0" w:type="dxa"/>
        <w:tblLayout w:type="fixed"/>
        <w:tblCellMar>
          <w:top w:w="0" w:type="dxa"/>
          <w:left w:w="108" w:type="dxa"/>
          <w:bottom w:w="0" w:type="dxa"/>
          <w:right w:w="108" w:type="dxa"/>
        </w:tblCellMar>
      </w:tblPr>
      <w:tblGrid>
        <w:gridCol w:w="93"/>
        <w:gridCol w:w="903"/>
        <w:gridCol w:w="1689"/>
        <w:gridCol w:w="1125"/>
        <w:gridCol w:w="1000"/>
        <w:gridCol w:w="987"/>
        <w:gridCol w:w="1375"/>
        <w:gridCol w:w="1250"/>
        <w:gridCol w:w="1350"/>
        <w:gridCol w:w="963"/>
        <w:gridCol w:w="1062"/>
        <w:gridCol w:w="1313"/>
        <w:gridCol w:w="823"/>
        <w:gridCol w:w="89"/>
      </w:tblGrid>
      <w:tr>
        <w:tblPrEx>
          <w:tblCellMar>
            <w:top w:w="0" w:type="dxa"/>
            <w:left w:w="108" w:type="dxa"/>
            <w:bottom w:w="0" w:type="dxa"/>
            <w:right w:w="108" w:type="dxa"/>
          </w:tblCellMar>
        </w:tblPrEx>
        <w:trPr>
          <w:gridBefore w:val="1"/>
          <w:gridAfter w:val="1"/>
          <w:wBefore w:w="93" w:type="dxa"/>
          <w:wAfter w:w="89" w:type="dxa"/>
          <w:trHeight w:val="979" w:hRule="atLeast"/>
        </w:trPr>
        <w:tc>
          <w:tcPr>
            <w:tcW w:w="13840" w:type="dxa"/>
            <w:gridSpan w:val="12"/>
            <w:tcBorders>
              <w:top w:val="nil"/>
              <w:left w:val="nil"/>
              <w:bottom w:val="nil"/>
              <w:right w:val="nil"/>
            </w:tcBorders>
            <w:noWrap/>
            <w:vAlign w:val="center"/>
          </w:tcPr>
          <w:p>
            <w:pPr>
              <w:widowControl/>
              <w:spacing w:line="560" w:lineRule="exact"/>
              <w:jc w:val="center"/>
              <w:textAlignment w:val="center"/>
              <w:rPr>
                <w:rFonts w:hint="eastAsia" w:ascii="宋体" w:hAnsi="宋体" w:cs="宋体"/>
                <w:b/>
                <w:bCs/>
                <w:color w:val="000000"/>
                <w:sz w:val="32"/>
                <w:szCs w:val="32"/>
              </w:rPr>
            </w:pPr>
            <w:r>
              <w:rPr>
                <w:rFonts w:hint="eastAsia" w:ascii="宋体" w:hAnsi="宋体" w:cs="宋体"/>
                <w:b/>
                <w:bCs/>
                <w:color w:val="000000"/>
                <w:kern w:val="0"/>
                <w:sz w:val="32"/>
                <w:szCs w:val="32"/>
                <w:lang w:bidi="ar"/>
              </w:rPr>
              <w:t>202</w:t>
            </w:r>
            <w:r>
              <w:rPr>
                <w:rFonts w:hint="eastAsia" w:ascii="宋体" w:hAnsi="宋体" w:cs="宋体"/>
                <w:b/>
                <w:bCs/>
                <w:color w:val="000000"/>
                <w:kern w:val="0"/>
                <w:sz w:val="32"/>
                <w:szCs w:val="32"/>
                <w:lang w:val="en-US" w:eastAsia="zh-CN" w:bidi="ar"/>
              </w:rPr>
              <w:t>5</w:t>
            </w:r>
            <w:r>
              <w:rPr>
                <w:rFonts w:hint="eastAsia" w:ascii="宋体" w:hAnsi="宋体" w:cs="宋体"/>
                <w:b/>
                <w:bCs/>
                <w:color w:val="000000"/>
                <w:kern w:val="0"/>
                <w:sz w:val="32"/>
                <w:szCs w:val="32"/>
                <w:lang w:bidi="ar"/>
              </w:rPr>
              <w:t>年</w:t>
            </w:r>
            <w:r>
              <w:rPr>
                <w:rFonts w:hint="eastAsia" w:ascii="宋体" w:hAnsi="宋体" w:cs="宋体"/>
                <w:b/>
                <w:bCs/>
                <w:color w:val="000000"/>
                <w:kern w:val="0"/>
                <w:sz w:val="32"/>
                <w:szCs w:val="32"/>
                <w:lang w:val="en-US" w:eastAsia="zh-CN" w:bidi="ar"/>
              </w:rPr>
              <w:t>暑</w:t>
            </w:r>
            <w:r>
              <w:rPr>
                <w:rFonts w:hint="eastAsia" w:ascii="仿宋_GB2312" w:hAnsi="仿宋_GB2312" w:eastAsia="仿宋_GB2312" w:cs="仿宋_GB2312"/>
                <w:b/>
                <w:bCs/>
                <w:kern w:val="0"/>
                <w:sz w:val="32"/>
                <w:szCs w:val="32"/>
              </w:rPr>
              <w:t>假“长三角区域差异化模式下低空经济高质量发展研究”</w:t>
            </w:r>
            <w:r>
              <w:rPr>
                <w:rFonts w:hint="eastAsia" w:ascii="宋体" w:hAnsi="宋体" w:cs="宋体"/>
                <w:b/>
                <w:bCs/>
                <w:color w:val="000000"/>
                <w:kern w:val="0"/>
                <w:sz w:val="32"/>
                <w:szCs w:val="32"/>
                <w:lang w:bidi="ar"/>
              </w:rPr>
              <w:t>团队报名汇总表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 w:type="dxa"/>
            <w:gridSpan w:val="2"/>
            <w:noWrap w:val="0"/>
            <w:vAlign w:val="center"/>
          </w:tcPr>
          <w:p>
            <w:pPr>
              <w:widowControl/>
              <w:spacing w:line="320" w:lineRule="exact"/>
              <w:jc w:val="center"/>
              <w:rPr>
                <w:rFonts w:ascii="仿宋" w:hAnsi="仿宋" w:eastAsia="仿宋" w:cs="Times New Roman"/>
                <w:b/>
                <w:bCs/>
                <w:color w:val="000000"/>
                <w:kern w:val="0"/>
                <w:sz w:val="24"/>
              </w:rPr>
            </w:pPr>
            <w:r>
              <w:rPr>
                <w:rFonts w:hint="eastAsia" w:ascii="仿宋" w:hAnsi="仿宋" w:eastAsia="仿宋" w:cs="Times New Roman"/>
                <w:b/>
                <w:bCs/>
                <w:color w:val="000000"/>
                <w:sz w:val="24"/>
              </w:rPr>
              <w:t>序号</w:t>
            </w:r>
          </w:p>
        </w:tc>
        <w:tc>
          <w:tcPr>
            <w:tcW w:w="1689" w:type="dxa"/>
            <w:noWrap w:val="0"/>
            <w:vAlign w:val="center"/>
          </w:tcPr>
          <w:p>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团队负责人所在学院</w:t>
            </w:r>
          </w:p>
        </w:tc>
        <w:tc>
          <w:tcPr>
            <w:tcW w:w="1125" w:type="dxa"/>
            <w:noWrap w:val="0"/>
            <w:vAlign w:val="center"/>
          </w:tcPr>
          <w:p>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团队名称</w:t>
            </w:r>
          </w:p>
        </w:tc>
        <w:tc>
          <w:tcPr>
            <w:tcW w:w="1000" w:type="dxa"/>
            <w:noWrap w:val="0"/>
            <w:vAlign w:val="center"/>
          </w:tcPr>
          <w:p>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实践地点</w:t>
            </w:r>
          </w:p>
        </w:tc>
        <w:tc>
          <w:tcPr>
            <w:tcW w:w="987" w:type="dxa"/>
            <w:noWrap w:val="0"/>
            <w:vAlign w:val="center"/>
          </w:tcPr>
          <w:p>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负责人姓名</w:t>
            </w:r>
          </w:p>
        </w:tc>
        <w:tc>
          <w:tcPr>
            <w:tcW w:w="1375" w:type="dxa"/>
            <w:noWrap w:val="0"/>
            <w:vAlign w:val="center"/>
          </w:tcPr>
          <w:p>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负责人联系电话</w:t>
            </w:r>
          </w:p>
        </w:tc>
        <w:tc>
          <w:tcPr>
            <w:tcW w:w="1250" w:type="dxa"/>
            <w:noWrap w:val="0"/>
            <w:vAlign w:val="center"/>
          </w:tcPr>
          <w:p>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负责人QQ号</w:t>
            </w:r>
          </w:p>
        </w:tc>
        <w:tc>
          <w:tcPr>
            <w:tcW w:w="1350" w:type="dxa"/>
            <w:noWrap w:val="0"/>
            <w:vAlign w:val="center"/>
          </w:tcPr>
          <w:p>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负责人电子邮箱</w:t>
            </w:r>
          </w:p>
        </w:tc>
        <w:tc>
          <w:tcPr>
            <w:tcW w:w="963" w:type="dxa"/>
            <w:noWrap w:val="0"/>
            <w:vAlign w:val="center"/>
          </w:tcPr>
          <w:p>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 xml:space="preserve">团队成员   </w:t>
            </w:r>
          </w:p>
        </w:tc>
        <w:tc>
          <w:tcPr>
            <w:tcW w:w="1062" w:type="dxa"/>
            <w:noWrap w:val="0"/>
            <w:vAlign w:val="center"/>
          </w:tcPr>
          <w:p>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指导老师姓名</w:t>
            </w:r>
          </w:p>
        </w:tc>
        <w:tc>
          <w:tcPr>
            <w:tcW w:w="1313" w:type="dxa"/>
            <w:noWrap w:val="0"/>
            <w:vAlign w:val="center"/>
          </w:tcPr>
          <w:p>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指导老师工号</w:t>
            </w:r>
          </w:p>
        </w:tc>
        <w:tc>
          <w:tcPr>
            <w:tcW w:w="912" w:type="dxa"/>
            <w:gridSpan w:val="2"/>
            <w:noWrap w:val="0"/>
            <w:vAlign w:val="center"/>
          </w:tcPr>
          <w:p>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96" w:type="dxa"/>
            <w:gridSpan w:val="2"/>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1</w:t>
            </w:r>
          </w:p>
        </w:tc>
        <w:tc>
          <w:tcPr>
            <w:tcW w:w="1689"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125"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00"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87"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75"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250"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50"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63"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62"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13"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12" w:type="dxa"/>
            <w:gridSpan w:val="2"/>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96" w:type="dxa"/>
            <w:gridSpan w:val="2"/>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2</w:t>
            </w:r>
          </w:p>
        </w:tc>
        <w:tc>
          <w:tcPr>
            <w:tcW w:w="1689"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125"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00"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87"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75"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250"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50"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63"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62"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13"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12" w:type="dxa"/>
            <w:gridSpan w:val="2"/>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996" w:type="dxa"/>
            <w:gridSpan w:val="2"/>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3</w:t>
            </w:r>
          </w:p>
        </w:tc>
        <w:tc>
          <w:tcPr>
            <w:tcW w:w="1689"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125"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00"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87"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75"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250"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50"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63"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62"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13"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12" w:type="dxa"/>
            <w:gridSpan w:val="2"/>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96" w:type="dxa"/>
            <w:gridSpan w:val="2"/>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4</w:t>
            </w:r>
          </w:p>
        </w:tc>
        <w:tc>
          <w:tcPr>
            <w:tcW w:w="1689"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125"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00"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87"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75"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250"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50"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63"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62"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13"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12" w:type="dxa"/>
            <w:gridSpan w:val="2"/>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6" w:type="dxa"/>
            <w:gridSpan w:val="2"/>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5</w:t>
            </w:r>
          </w:p>
        </w:tc>
        <w:tc>
          <w:tcPr>
            <w:tcW w:w="1689"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125"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00"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87"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75"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250"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50"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63"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62"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13" w:type="dxa"/>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12" w:type="dxa"/>
            <w:gridSpan w:val="2"/>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6" w:type="dxa"/>
            <w:gridSpan w:val="2"/>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6</w:t>
            </w:r>
          </w:p>
        </w:tc>
        <w:tc>
          <w:tcPr>
            <w:tcW w:w="1689" w:type="dxa"/>
            <w:noWrap w:val="0"/>
            <w:vAlign w:val="center"/>
          </w:tcPr>
          <w:p>
            <w:pPr>
              <w:spacing w:line="320" w:lineRule="exact"/>
              <w:jc w:val="center"/>
              <w:rPr>
                <w:rFonts w:ascii="仿宋" w:hAnsi="仿宋" w:eastAsia="仿宋" w:cs="Times New Roman"/>
                <w:color w:val="000000"/>
                <w:sz w:val="24"/>
              </w:rPr>
            </w:pPr>
          </w:p>
        </w:tc>
        <w:tc>
          <w:tcPr>
            <w:tcW w:w="1125" w:type="dxa"/>
            <w:noWrap w:val="0"/>
            <w:vAlign w:val="center"/>
          </w:tcPr>
          <w:p>
            <w:pPr>
              <w:spacing w:line="320" w:lineRule="exact"/>
              <w:jc w:val="center"/>
              <w:rPr>
                <w:rFonts w:ascii="仿宋" w:hAnsi="仿宋" w:eastAsia="仿宋" w:cs="Times New Roman"/>
                <w:color w:val="000000"/>
                <w:sz w:val="24"/>
              </w:rPr>
            </w:pPr>
          </w:p>
        </w:tc>
        <w:tc>
          <w:tcPr>
            <w:tcW w:w="1000" w:type="dxa"/>
            <w:noWrap w:val="0"/>
            <w:vAlign w:val="center"/>
          </w:tcPr>
          <w:p>
            <w:pPr>
              <w:spacing w:line="320" w:lineRule="exact"/>
              <w:jc w:val="center"/>
              <w:rPr>
                <w:rFonts w:ascii="仿宋" w:hAnsi="仿宋" w:eastAsia="仿宋" w:cs="Times New Roman"/>
                <w:color w:val="000000"/>
                <w:sz w:val="24"/>
              </w:rPr>
            </w:pPr>
          </w:p>
        </w:tc>
        <w:tc>
          <w:tcPr>
            <w:tcW w:w="987" w:type="dxa"/>
            <w:noWrap w:val="0"/>
            <w:vAlign w:val="center"/>
          </w:tcPr>
          <w:p>
            <w:pPr>
              <w:spacing w:line="320" w:lineRule="exact"/>
              <w:jc w:val="center"/>
              <w:rPr>
                <w:rFonts w:ascii="仿宋" w:hAnsi="仿宋" w:eastAsia="仿宋" w:cs="Times New Roman"/>
                <w:color w:val="000000"/>
                <w:sz w:val="24"/>
              </w:rPr>
            </w:pPr>
          </w:p>
        </w:tc>
        <w:tc>
          <w:tcPr>
            <w:tcW w:w="1375" w:type="dxa"/>
            <w:noWrap w:val="0"/>
            <w:vAlign w:val="center"/>
          </w:tcPr>
          <w:p>
            <w:pPr>
              <w:spacing w:line="320" w:lineRule="exact"/>
              <w:jc w:val="center"/>
              <w:rPr>
                <w:rFonts w:ascii="仿宋" w:hAnsi="仿宋" w:eastAsia="仿宋" w:cs="Times New Roman"/>
                <w:color w:val="000000"/>
                <w:sz w:val="24"/>
              </w:rPr>
            </w:pPr>
          </w:p>
        </w:tc>
        <w:tc>
          <w:tcPr>
            <w:tcW w:w="1250" w:type="dxa"/>
            <w:noWrap w:val="0"/>
            <w:vAlign w:val="center"/>
          </w:tcPr>
          <w:p>
            <w:pPr>
              <w:spacing w:line="320" w:lineRule="exact"/>
              <w:jc w:val="center"/>
              <w:rPr>
                <w:rFonts w:ascii="仿宋" w:hAnsi="仿宋" w:eastAsia="仿宋" w:cs="Times New Roman"/>
                <w:color w:val="000000"/>
                <w:sz w:val="24"/>
              </w:rPr>
            </w:pPr>
          </w:p>
        </w:tc>
        <w:tc>
          <w:tcPr>
            <w:tcW w:w="1350" w:type="dxa"/>
            <w:noWrap w:val="0"/>
            <w:vAlign w:val="center"/>
          </w:tcPr>
          <w:p>
            <w:pPr>
              <w:spacing w:line="320" w:lineRule="exact"/>
              <w:jc w:val="center"/>
              <w:rPr>
                <w:rFonts w:ascii="仿宋" w:hAnsi="仿宋" w:eastAsia="仿宋" w:cs="Times New Roman"/>
                <w:color w:val="000000"/>
                <w:sz w:val="24"/>
              </w:rPr>
            </w:pPr>
          </w:p>
        </w:tc>
        <w:tc>
          <w:tcPr>
            <w:tcW w:w="963" w:type="dxa"/>
            <w:noWrap w:val="0"/>
            <w:vAlign w:val="center"/>
          </w:tcPr>
          <w:p>
            <w:pPr>
              <w:spacing w:line="320" w:lineRule="exact"/>
              <w:jc w:val="center"/>
              <w:rPr>
                <w:rFonts w:ascii="仿宋" w:hAnsi="仿宋" w:eastAsia="仿宋" w:cs="Times New Roman"/>
                <w:color w:val="000000"/>
                <w:sz w:val="24"/>
              </w:rPr>
            </w:pPr>
          </w:p>
        </w:tc>
        <w:tc>
          <w:tcPr>
            <w:tcW w:w="1062" w:type="dxa"/>
            <w:noWrap w:val="0"/>
            <w:vAlign w:val="center"/>
          </w:tcPr>
          <w:p>
            <w:pPr>
              <w:spacing w:line="320" w:lineRule="exact"/>
              <w:jc w:val="center"/>
              <w:rPr>
                <w:rFonts w:ascii="仿宋" w:hAnsi="仿宋" w:eastAsia="仿宋" w:cs="Times New Roman"/>
                <w:color w:val="000000"/>
                <w:sz w:val="24"/>
              </w:rPr>
            </w:pPr>
          </w:p>
        </w:tc>
        <w:tc>
          <w:tcPr>
            <w:tcW w:w="1313" w:type="dxa"/>
            <w:noWrap w:val="0"/>
            <w:vAlign w:val="center"/>
          </w:tcPr>
          <w:p>
            <w:pPr>
              <w:spacing w:line="320" w:lineRule="exact"/>
              <w:jc w:val="center"/>
              <w:rPr>
                <w:rFonts w:ascii="仿宋" w:hAnsi="仿宋" w:eastAsia="仿宋" w:cs="Times New Roman"/>
                <w:color w:val="000000"/>
                <w:sz w:val="24"/>
              </w:rPr>
            </w:pPr>
          </w:p>
        </w:tc>
        <w:tc>
          <w:tcPr>
            <w:tcW w:w="912" w:type="dxa"/>
            <w:gridSpan w:val="2"/>
            <w:noWrap w:val="0"/>
            <w:vAlign w:val="center"/>
          </w:tcPr>
          <w:p>
            <w:pPr>
              <w:spacing w:line="320" w:lineRule="exact"/>
              <w:jc w:val="center"/>
              <w:rPr>
                <w:rFonts w:ascii="仿宋" w:hAnsi="仿宋"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6" w:type="dxa"/>
            <w:gridSpan w:val="2"/>
            <w:noWrap w:val="0"/>
            <w:vAlign w:val="center"/>
          </w:tcPr>
          <w:p>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7</w:t>
            </w:r>
          </w:p>
        </w:tc>
        <w:tc>
          <w:tcPr>
            <w:tcW w:w="1689" w:type="dxa"/>
            <w:noWrap w:val="0"/>
            <w:vAlign w:val="center"/>
          </w:tcPr>
          <w:p>
            <w:pPr>
              <w:spacing w:line="320" w:lineRule="exact"/>
              <w:jc w:val="center"/>
              <w:rPr>
                <w:rFonts w:ascii="仿宋" w:hAnsi="仿宋" w:eastAsia="仿宋" w:cs="Times New Roman"/>
                <w:color w:val="000000"/>
                <w:sz w:val="24"/>
              </w:rPr>
            </w:pPr>
          </w:p>
        </w:tc>
        <w:tc>
          <w:tcPr>
            <w:tcW w:w="1125" w:type="dxa"/>
            <w:noWrap w:val="0"/>
            <w:vAlign w:val="center"/>
          </w:tcPr>
          <w:p>
            <w:pPr>
              <w:spacing w:line="320" w:lineRule="exact"/>
              <w:jc w:val="center"/>
              <w:rPr>
                <w:rFonts w:ascii="仿宋" w:hAnsi="仿宋" w:eastAsia="仿宋" w:cs="Times New Roman"/>
                <w:color w:val="000000"/>
                <w:sz w:val="24"/>
              </w:rPr>
            </w:pPr>
          </w:p>
        </w:tc>
        <w:tc>
          <w:tcPr>
            <w:tcW w:w="1000" w:type="dxa"/>
            <w:noWrap w:val="0"/>
            <w:vAlign w:val="center"/>
          </w:tcPr>
          <w:p>
            <w:pPr>
              <w:spacing w:line="320" w:lineRule="exact"/>
              <w:jc w:val="center"/>
              <w:rPr>
                <w:rFonts w:ascii="仿宋" w:hAnsi="仿宋" w:eastAsia="仿宋" w:cs="Times New Roman"/>
                <w:color w:val="000000"/>
                <w:sz w:val="24"/>
              </w:rPr>
            </w:pPr>
          </w:p>
        </w:tc>
        <w:tc>
          <w:tcPr>
            <w:tcW w:w="987" w:type="dxa"/>
            <w:noWrap w:val="0"/>
            <w:vAlign w:val="center"/>
          </w:tcPr>
          <w:p>
            <w:pPr>
              <w:spacing w:line="320" w:lineRule="exact"/>
              <w:jc w:val="center"/>
              <w:rPr>
                <w:rFonts w:ascii="仿宋" w:hAnsi="仿宋" w:eastAsia="仿宋" w:cs="Times New Roman"/>
                <w:color w:val="000000"/>
                <w:sz w:val="24"/>
              </w:rPr>
            </w:pPr>
          </w:p>
        </w:tc>
        <w:tc>
          <w:tcPr>
            <w:tcW w:w="1375" w:type="dxa"/>
            <w:noWrap w:val="0"/>
            <w:vAlign w:val="center"/>
          </w:tcPr>
          <w:p>
            <w:pPr>
              <w:spacing w:line="320" w:lineRule="exact"/>
              <w:jc w:val="center"/>
              <w:rPr>
                <w:rFonts w:ascii="仿宋" w:hAnsi="仿宋" w:eastAsia="仿宋" w:cs="Times New Roman"/>
                <w:color w:val="000000"/>
                <w:sz w:val="24"/>
              </w:rPr>
            </w:pPr>
          </w:p>
        </w:tc>
        <w:tc>
          <w:tcPr>
            <w:tcW w:w="1250" w:type="dxa"/>
            <w:noWrap w:val="0"/>
            <w:vAlign w:val="center"/>
          </w:tcPr>
          <w:p>
            <w:pPr>
              <w:spacing w:line="320" w:lineRule="exact"/>
              <w:jc w:val="center"/>
              <w:rPr>
                <w:rFonts w:ascii="仿宋" w:hAnsi="仿宋" w:eastAsia="仿宋" w:cs="Times New Roman"/>
                <w:color w:val="000000"/>
                <w:sz w:val="24"/>
              </w:rPr>
            </w:pPr>
          </w:p>
        </w:tc>
        <w:tc>
          <w:tcPr>
            <w:tcW w:w="1350" w:type="dxa"/>
            <w:noWrap w:val="0"/>
            <w:vAlign w:val="center"/>
          </w:tcPr>
          <w:p>
            <w:pPr>
              <w:spacing w:line="320" w:lineRule="exact"/>
              <w:jc w:val="center"/>
              <w:rPr>
                <w:rFonts w:ascii="仿宋" w:hAnsi="仿宋" w:eastAsia="仿宋" w:cs="Times New Roman"/>
                <w:color w:val="000000"/>
                <w:sz w:val="24"/>
              </w:rPr>
            </w:pPr>
          </w:p>
        </w:tc>
        <w:tc>
          <w:tcPr>
            <w:tcW w:w="963" w:type="dxa"/>
            <w:noWrap w:val="0"/>
            <w:vAlign w:val="center"/>
          </w:tcPr>
          <w:p>
            <w:pPr>
              <w:spacing w:line="320" w:lineRule="exact"/>
              <w:jc w:val="center"/>
              <w:rPr>
                <w:rFonts w:ascii="仿宋" w:hAnsi="仿宋" w:eastAsia="仿宋" w:cs="Times New Roman"/>
                <w:color w:val="000000"/>
                <w:sz w:val="24"/>
              </w:rPr>
            </w:pPr>
          </w:p>
        </w:tc>
        <w:tc>
          <w:tcPr>
            <w:tcW w:w="1062" w:type="dxa"/>
            <w:noWrap w:val="0"/>
            <w:vAlign w:val="center"/>
          </w:tcPr>
          <w:p>
            <w:pPr>
              <w:spacing w:line="320" w:lineRule="exact"/>
              <w:jc w:val="center"/>
              <w:rPr>
                <w:rFonts w:ascii="仿宋" w:hAnsi="仿宋" w:eastAsia="仿宋" w:cs="Times New Roman"/>
                <w:color w:val="000000"/>
                <w:sz w:val="24"/>
              </w:rPr>
            </w:pPr>
          </w:p>
        </w:tc>
        <w:tc>
          <w:tcPr>
            <w:tcW w:w="1313" w:type="dxa"/>
            <w:noWrap w:val="0"/>
            <w:vAlign w:val="center"/>
          </w:tcPr>
          <w:p>
            <w:pPr>
              <w:spacing w:line="320" w:lineRule="exact"/>
              <w:jc w:val="center"/>
              <w:rPr>
                <w:rFonts w:ascii="仿宋" w:hAnsi="仿宋" w:eastAsia="仿宋" w:cs="Times New Roman"/>
                <w:color w:val="000000"/>
                <w:sz w:val="24"/>
              </w:rPr>
            </w:pPr>
          </w:p>
        </w:tc>
        <w:tc>
          <w:tcPr>
            <w:tcW w:w="912" w:type="dxa"/>
            <w:gridSpan w:val="2"/>
            <w:noWrap w:val="0"/>
            <w:vAlign w:val="center"/>
          </w:tcPr>
          <w:p>
            <w:pPr>
              <w:spacing w:line="320" w:lineRule="exact"/>
              <w:jc w:val="center"/>
              <w:rPr>
                <w:rFonts w:ascii="仿宋" w:hAnsi="仿宋" w:eastAsia="仿宋" w:cs="Times New Roman"/>
                <w:color w:val="000000"/>
                <w:sz w:val="24"/>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lang w:val="en-US"/>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338FC9"/>
    <w:multiLevelType w:val="singleLevel"/>
    <w:tmpl w:val="F9338FC9"/>
    <w:lvl w:ilvl="0" w:tentative="0">
      <w:start w:val="1"/>
      <w:numFmt w:val="chineseCounting"/>
      <w:suff w:val="nothing"/>
      <w:lvlText w:val="%1、"/>
      <w:lvlJc w:val="left"/>
      <w:rPr>
        <w:rFonts w:hint="eastAsia"/>
      </w:rPr>
    </w:lvl>
  </w:abstractNum>
  <w:abstractNum w:abstractNumId="1">
    <w:nsid w:val="4CAB2DC4"/>
    <w:multiLevelType w:val="singleLevel"/>
    <w:tmpl w:val="4CAB2DC4"/>
    <w:lvl w:ilvl="0" w:tentative="0">
      <w:start w:val="2"/>
      <w:numFmt w:val="chineseCounting"/>
      <w:suff w:val="nothing"/>
      <w:lvlText w:val="%1、"/>
      <w:lvlJc w:val="left"/>
      <w:pPr>
        <w:ind w:left="-2"/>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xMzAwMGRkZTk3YzExMWNmNWRkNDRiNmNiNGMxM2EifQ=="/>
    <w:docVar w:name="KSO_WPS_MARK_KEY" w:val="530eb086-f88c-4601-a51d-b29de0ea692f"/>
  </w:docVars>
  <w:rsids>
    <w:rsidRoot w:val="2A16569C"/>
    <w:rsid w:val="1A2428DF"/>
    <w:rsid w:val="24FB6E16"/>
    <w:rsid w:val="2A16569C"/>
    <w:rsid w:val="4E203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2403</Words>
  <Characters>2511</Characters>
  <Lines>0</Lines>
  <Paragraphs>0</Paragraphs>
  <TotalTime>1</TotalTime>
  <ScaleCrop>false</ScaleCrop>
  <LinksUpToDate>false</LinksUpToDate>
  <CharactersWithSpaces>2612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2025-06-01T12:42:00Z</dcterms:created>
  <dc:creator>^J^</dc:creator>
  <cp:lastModifiedBy>Jerry  阳</cp:lastModifiedBy>
  <dcterms:modified xsi:type="dcterms:W3CDTF">2025-06-04T06:29:26Z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F41E1C121856405B919296514A449C38_13</vt:lpwstr>
  </property>
  <property fmtid="{D5CDD505-2E9C-101B-9397-08002B2CF9AE}" pid="4" name="KSOTemplateDocerSaveRecord">
    <vt:lpwstr>eyJoZGlkIjoiMmE3YThhYzhmYmQ2NjU4YjA5MWU2YTUyNjkwNjE3YTQiLCJ1c2VySWQiOiIxNjQyODkzMjIwIn0=</vt:lpwstr>
  </property>
</Properties>
</file>